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sz w:val="40"/>
          <w:szCs w:val="36"/>
        </w:rPr>
      </w:pPr>
      <w:r>
        <w:rPr>
          <w:rFonts w:hint="eastAsia"/>
          <w:color w:val="000000"/>
          <w:sz w:val="40"/>
          <w:szCs w:val="36"/>
        </w:rPr>
        <w:t>省级行政单位通用办公设备家具配置标准</w:t>
      </w:r>
    </w:p>
    <w:p>
      <w:pPr>
        <w:rPr>
          <w:color w:val="000000"/>
          <w:sz w:val="22"/>
          <w:szCs w:val="21"/>
        </w:rPr>
      </w:pPr>
    </w:p>
    <w:p>
      <w:pPr>
        <w:pStyle w:val="2"/>
        <w:spacing w:before="0" w:beforeAutospacing="0" w:after="0" w:afterAutospacing="0" w:line="600" w:lineRule="atLeast"/>
        <w:ind w:firstLine="480"/>
        <w:rPr>
          <w:color w:val="000000"/>
          <w:szCs w:val="21"/>
        </w:rPr>
      </w:pPr>
      <w:r>
        <w:rPr>
          <w:rStyle w:val="4"/>
          <w:rFonts w:hint="eastAsia"/>
          <w:color w:val="000000"/>
          <w:szCs w:val="21"/>
        </w:rPr>
        <w:t>第一条  </w:t>
      </w:r>
      <w:r>
        <w:rPr>
          <w:rFonts w:hint="eastAsia"/>
          <w:color w:val="000000"/>
          <w:szCs w:val="21"/>
        </w:rPr>
        <w:t>为规范省级行政单位资产配置，健全部门预算标准体系和资产配置标准体系，保障行政单位运行，根据国家有关规定，制定本标准。</w:t>
      </w:r>
    </w:p>
    <w:p>
      <w:pPr>
        <w:pStyle w:val="2"/>
        <w:spacing w:before="0" w:beforeAutospacing="0" w:after="0" w:afterAutospacing="0" w:line="600" w:lineRule="atLeast"/>
        <w:ind w:firstLine="480"/>
        <w:rPr>
          <w:color w:val="000000"/>
          <w:szCs w:val="21"/>
        </w:rPr>
      </w:pPr>
      <w:r>
        <w:rPr>
          <w:rStyle w:val="4"/>
          <w:rFonts w:hint="eastAsia"/>
          <w:color w:val="000000"/>
          <w:szCs w:val="21"/>
        </w:rPr>
        <w:t>第二条</w:t>
      </w:r>
      <w:r>
        <w:rPr>
          <w:rStyle w:val="6"/>
          <w:b/>
          <w:bCs/>
          <w:color w:val="000000"/>
          <w:szCs w:val="21"/>
        </w:rPr>
        <w:tab/>
      </w:r>
      <w:r>
        <w:rPr>
          <w:rStyle w:val="6"/>
          <w:b/>
          <w:bCs/>
          <w:color w:val="000000"/>
          <w:szCs w:val="21"/>
        </w:rPr>
        <w:t xml:space="preserve">  </w:t>
      </w:r>
      <w:r>
        <w:rPr>
          <w:rFonts w:hint="eastAsia"/>
          <w:color w:val="000000"/>
          <w:szCs w:val="21"/>
        </w:rPr>
        <w:t>省级党的机关、人大机关、行政机关、政协机关、审判机关、检察机关、各民主党派机关等（以下统称行政单位）配置通用办公设备、家具适用本标准。</w:t>
      </w:r>
    </w:p>
    <w:p>
      <w:pPr>
        <w:pStyle w:val="2"/>
        <w:spacing w:before="0" w:beforeAutospacing="0" w:after="0" w:afterAutospacing="0" w:line="600" w:lineRule="atLeast"/>
        <w:ind w:firstLine="480"/>
        <w:rPr>
          <w:color w:val="000000"/>
          <w:szCs w:val="21"/>
        </w:rPr>
      </w:pPr>
      <w:r>
        <w:rPr>
          <w:rStyle w:val="4"/>
          <w:rFonts w:hint="eastAsia"/>
          <w:color w:val="000000"/>
          <w:szCs w:val="21"/>
        </w:rPr>
        <w:t>第三条  </w:t>
      </w:r>
      <w:r>
        <w:rPr>
          <w:rFonts w:hint="eastAsia"/>
          <w:color w:val="000000"/>
          <w:szCs w:val="21"/>
        </w:rPr>
        <w:t>本标准所称通用办公设备、家具，是指普遍适用于省级行政单位，满足办公基本需要的设备、家具，不含专业类设备、家具。</w:t>
      </w:r>
    </w:p>
    <w:p>
      <w:pPr>
        <w:pStyle w:val="2"/>
        <w:spacing w:before="0" w:beforeAutospacing="0" w:after="0" w:afterAutospacing="0" w:line="600" w:lineRule="atLeast"/>
        <w:ind w:firstLine="480"/>
        <w:rPr>
          <w:color w:val="000000"/>
          <w:szCs w:val="21"/>
        </w:rPr>
      </w:pPr>
      <w:r>
        <w:rPr>
          <w:rFonts w:hint="eastAsia"/>
          <w:color w:val="000000"/>
          <w:szCs w:val="21"/>
        </w:rPr>
        <w:t>对未列入本标准资产品目内的其他通用办公设备、家具，应当按照与单位履行职能需要相适应的原则，从严控制。</w:t>
      </w:r>
    </w:p>
    <w:p>
      <w:pPr>
        <w:pStyle w:val="2"/>
        <w:spacing w:before="0" w:beforeAutospacing="0" w:after="0" w:afterAutospacing="0" w:line="600" w:lineRule="atLeast"/>
        <w:ind w:firstLine="480"/>
        <w:rPr>
          <w:color w:val="000000"/>
          <w:szCs w:val="21"/>
        </w:rPr>
      </w:pPr>
      <w:r>
        <w:rPr>
          <w:rStyle w:val="4"/>
          <w:rFonts w:hint="eastAsia"/>
          <w:color w:val="000000"/>
          <w:szCs w:val="21"/>
        </w:rPr>
        <w:t>第四条  </w:t>
      </w:r>
      <w:r>
        <w:rPr>
          <w:rFonts w:hint="eastAsia"/>
          <w:color w:val="000000"/>
          <w:szCs w:val="21"/>
        </w:rPr>
        <w:t>本标准是省级预算标准体系和资产配置标准体系的重要组成部分，是编制和审核资产配置预算，实施政府采购和资产处置管理等工作的基本依据。</w:t>
      </w:r>
    </w:p>
    <w:p>
      <w:pPr>
        <w:pStyle w:val="2"/>
        <w:spacing w:before="0" w:beforeAutospacing="0" w:after="0" w:afterAutospacing="0" w:line="600" w:lineRule="atLeast"/>
        <w:ind w:firstLine="480"/>
        <w:rPr>
          <w:color w:val="000000"/>
          <w:szCs w:val="21"/>
        </w:rPr>
      </w:pPr>
      <w:r>
        <w:rPr>
          <w:rStyle w:val="4"/>
          <w:rFonts w:hint="eastAsia"/>
          <w:color w:val="000000"/>
          <w:szCs w:val="21"/>
        </w:rPr>
        <w:t>第五条  </w:t>
      </w:r>
      <w:r>
        <w:rPr>
          <w:rFonts w:hint="eastAsia"/>
          <w:color w:val="000000"/>
          <w:szCs w:val="21"/>
        </w:rPr>
        <w:t>本标准包括资产品目、配置数量上限、价格上限、最低使用年限和性能要求等内容。</w:t>
      </w:r>
    </w:p>
    <w:p>
      <w:pPr>
        <w:pStyle w:val="2"/>
        <w:spacing w:before="0" w:beforeAutospacing="0" w:after="0" w:afterAutospacing="0" w:line="600" w:lineRule="atLeast"/>
        <w:ind w:firstLine="480"/>
        <w:rPr>
          <w:color w:val="000000"/>
          <w:szCs w:val="21"/>
        </w:rPr>
      </w:pPr>
      <w:r>
        <w:rPr>
          <w:rFonts w:hint="eastAsia"/>
          <w:color w:val="000000"/>
          <w:szCs w:val="21"/>
        </w:rPr>
        <w:t>资产品目根据办公设备、家具普遍适用程度确定。</w:t>
      </w:r>
    </w:p>
    <w:p>
      <w:pPr>
        <w:pStyle w:val="2"/>
        <w:spacing w:before="0" w:beforeAutospacing="0" w:after="0" w:afterAutospacing="0" w:line="600" w:lineRule="atLeast"/>
        <w:ind w:firstLine="480"/>
        <w:rPr>
          <w:color w:val="000000"/>
          <w:szCs w:val="21"/>
        </w:rPr>
      </w:pPr>
      <w:r>
        <w:rPr>
          <w:rFonts w:hint="eastAsia"/>
          <w:color w:val="000000"/>
          <w:szCs w:val="21"/>
        </w:rPr>
        <w:t>配置数量上限根据单位机构设置、职能、编制人数等确定，是不得超出的数量标准，具体数量由各单位结合实际，按照节约的原则合理配置。</w:t>
      </w:r>
    </w:p>
    <w:p>
      <w:pPr>
        <w:pStyle w:val="2"/>
        <w:spacing w:before="0" w:beforeAutospacing="0" w:after="0" w:afterAutospacing="0" w:line="600" w:lineRule="atLeast"/>
        <w:ind w:firstLine="480"/>
        <w:rPr>
          <w:color w:val="000000"/>
          <w:szCs w:val="21"/>
        </w:rPr>
      </w:pPr>
      <w:r>
        <w:rPr>
          <w:rFonts w:hint="eastAsia"/>
          <w:color w:val="000000"/>
          <w:szCs w:val="21"/>
        </w:rPr>
        <w:t>价格上限根据办公设备、家具市场行情确定，是不得超出的价格标准，具体价格由各单位结合实际，按照节约的原则合理配置。因特殊原因确需超价格上限采购的，应按规定履行审批手续。</w:t>
      </w:r>
    </w:p>
    <w:p>
      <w:pPr>
        <w:pStyle w:val="2"/>
        <w:spacing w:before="0" w:beforeAutospacing="0" w:after="0" w:afterAutospacing="0" w:line="600" w:lineRule="atLeast"/>
        <w:ind w:firstLine="480"/>
        <w:rPr>
          <w:color w:val="000000"/>
          <w:szCs w:val="21"/>
        </w:rPr>
      </w:pPr>
      <w:r>
        <w:rPr>
          <w:rFonts w:hint="eastAsia"/>
          <w:color w:val="000000"/>
          <w:szCs w:val="21"/>
        </w:rPr>
        <w:t>最低使用年限根据办公设备、家具的使用频率和耐用程度等确定，是通用办公设备、家具使用的低限标准。未达到最低使用年限的，除损毁且无法修复外，原则上不得更新。已达到使用年限仍可以使用的，应当继续使用。</w:t>
      </w:r>
    </w:p>
    <w:p>
      <w:pPr>
        <w:pStyle w:val="2"/>
        <w:spacing w:before="0" w:beforeAutospacing="0" w:after="0" w:afterAutospacing="0" w:line="600" w:lineRule="atLeast"/>
        <w:ind w:firstLine="480"/>
        <w:rPr>
          <w:color w:val="000000"/>
          <w:szCs w:val="21"/>
        </w:rPr>
      </w:pPr>
      <w:r>
        <w:rPr>
          <w:rFonts w:hint="eastAsia"/>
          <w:color w:val="000000"/>
          <w:szCs w:val="21"/>
        </w:rPr>
        <w:t>性能要求是对通用办公设备、家具功能、属性、材质等方面的规定。</w:t>
      </w:r>
    </w:p>
    <w:p>
      <w:pPr>
        <w:pStyle w:val="2"/>
        <w:spacing w:before="0" w:beforeAutospacing="0" w:after="0" w:afterAutospacing="0" w:line="600" w:lineRule="atLeast"/>
        <w:ind w:firstLine="480"/>
        <w:rPr>
          <w:color w:val="000000"/>
          <w:szCs w:val="21"/>
        </w:rPr>
      </w:pPr>
      <w:r>
        <w:rPr>
          <w:rStyle w:val="4"/>
          <w:rFonts w:hint="eastAsia"/>
          <w:color w:val="000000"/>
          <w:szCs w:val="21"/>
        </w:rPr>
        <w:t>第六条</w:t>
      </w:r>
      <w:r>
        <w:rPr>
          <w:rFonts w:hint="eastAsia"/>
          <w:color w:val="000000"/>
          <w:szCs w:val="21"/>
        </w:rPr>
        <w:t>  省级行政单位配置办公设备应当按照《中华人民共和国政府采购法》的规定，配置具有较强安全性、稳定性、兼容性，且能耗低、维修便利的设备，不得配置高端设备。</w:t>
      </w:r>
    </w:p>
    <w:p>
      <w:pPr>
        <w:pStyle w:val="2"/>
        <w:spacing w:before="0" w:beforeAutospacing="0" w:after="0" w:afterAutospacing="0" w:line="600" w:lineRule="atLeast"/>
        <w:ind w:firstLine="480"/>
        <w:rPr>
          <w:color w:val="000000"/>
          <w:szCs w:val="21"/>
        </w:rPr>
      </w:pPr>
      <w:r>
        <w:rPr>
          <w:rFonts w:hint="eastAsia"/>
          <w:color w:val="000000"/>
          <w:szCs w:val="21"/>
        </w:rPr>
        <w:t>省级行政单位配置办公家具应当充分考虑办公布局，符合简朴实用要求，不得配置豪华家具，不得使用名贵木材。</w:t>
      </w:r>
    </w:p>
    <w:p>
      <w:pPr>
        <w:pStyle w:val="2"/>
        <w:spacing w:before="0" w:beforeAutospacing="0" w:after="0" w:afterAutospacing="0" w:line="600" w:lineRule="atLeast"/>
        <w:ind w:firstLine="480"/>
        <w:rPr>
          <w:color w:val="000000"/>
          <w:szCs w:val="21"/>
        </w:rPr>
      </w:pPr>
      <w:r>
        <w:rPr>
          <w:rStyle w:val="4"/>
          <w:rFonts w:hint="eastAsia"/>
          <w:color w:val="000000"/>
          <w:szCs w:val="21"/>
        </w:rPr>
        <w:t>第七条  </w:t>
      </w:r>
      <w:r>
        <w:rPr>
          <w:rFonts w:hint="eastAsia"/>
          <w:color w:val="000000"/>
          <w:szCs w:val="21"/>
        </w:rPr>
        <w:t>本标准根据经济社会发展水平、市场价格变化等因素，适时调整。</w:t>
      </w:r>
    </w:p>
    <w:p>
      <w:pPr>
        <w:pStyle w:val="2"/>
        <w:spacing w:before="0" w:beforeAutospacing="0" w:after="0" w:afterAutospacing="0" w:line="600" w:lineRule="atLeast"/>
        <w:ind w:firstLine="480"/>
        <w:rPr>
          <w:color w:val="000000"/>
          <w:szCs w:val="21"/>
        </w:rPr>
      </w:pPr>
      <w:r>
        <w:rPr>
          <w:rStyle w:val="4"/>
          <w:rFonts w:hint="eastAsia"/>
          <w:color w:val="000000"/>
          <w:szCs w:val="21"/>
        </w:rPr>
        <w:t>第八条  </w:t>
      </w:r>
      <w:r>
        <w:rPr>
          <w:rFonts w:hint="eastAsia"/>
          <w:color w:val="000000"/>
          <w:szCs w:val="21"/>
        </w:rPr>
        <w:t>省级行政单位应当根据本标准和《浙江省省级行政事业单位国有资产配置管理暂行办法》(浙财资产〔2011〕19号)的规定，申报资产编制，并根据核定的资产编制和年度资产配置数量限额，结合财力可能，统筹合理安排本单位通用办公设备、家具的配置。</w:t>
      </w:r>
    </w:p>
    <w:p>
      <w:pPr>
        <w:pStyle w:val="2"/>
        <w:spacing w:before="0" w:beforeAutospacing="0" w:after="0" w:afterAutospacing="0" w:line="600" w:lineRule="atLeast"/>
        <w:ind w:firstLine="480"/>
        <w:rPr>
          <w:color w:val="000000"/>
          <w:szCs w:val="21"/>
        </w:rPr>
      </w:pPr>
      <w:r>
        <w:rPr>
          <w:rStyle w:val="4"/>
          <w:rFonts w:hint="eastAsia"/>
          <w:color w:val="000000"/>
          <w:szCs w:val="21"/>
        </w:rPr>
        <w:t>第九条  </w:t>
      </w:r>
      <w:r>
        <w:rPr>
          <w:rFonts w:hint="eastAsia"/>
          <w:color w:val="000000"/>
          <w:szCs w:val="21"/>
        </w:rPr>
        <w:t>参照公务员法管理、执行行政单位财务和会计制度的省级事业单位和社会团体配置通用办公设备、家具的，依照本标准执行。其他省级事业单位和社会团体配置通用办公设备、家具的，参照本标准执行。</w:t>
      </w:r>
    </w:p>
    <w:p>
      <w:pPr>
        <w:pStyle w:val="2"/>
        <w:spacing w:before="0" w:beforeAutospacing="0" w:after="0" w:afterAutospacing="0" w:line="600" w:lineRule="atLeast"/>
        <w:ind w:firstLine="480"/>
        <w:rPr>
          <w:rFonts w:hint="eastAsia"/>
          <w:color w:val="000000"/>
          <w:szCs w:val="21"/>
        </w:rPr>
      </w:pPr>
      <w:r>
        <w:rPr>
          <w:rStyle w:val="4"/>
          <w:rFonts w:hint="eastAsia"/>
          <w:color w:val="000000"/>
          <w:szCs w:val="21"/>
        </w:rPr>
        <w:t>第十条  </w:t>
      </w:r>
      <w:r>
        <w:rPr>
          <w:rFonts w:hint="eastAsia"/>
          <w:color w:val="000000"/>
          <w:szCs w:val="21"/>
        </w:rPr>
        <w:t>本标准自发文之日起施行。《省级行政单位通用办公设备家具购置费预算标准（试行）》（浙财资产〔2011〕13号）同时废止。</w:t>
      </w:r>
    </w:p>
    <w:p>
      <w:pPr>
        <w:pStyle w:val="2"/>
        <w:spacing w:before="0" w:beforeAutospacing="0" w:after="0" w:afterAutospacing="0" w:line="600" w:lineRule="atLeast"/>
        <w:ind w:firstLine="480"/>
        <w:rPr>
          <w:rFonts w:hint="eastAsia"/>
          <w:color w:val="000000"/>
          <w:szCs w:val="21"/>
        </w:rPr>
      </w:pPr>
      <w:r>
        <w:rPr>
          <w:rFonts w:hint="eastAsia"/>
          <w:color w:val="000000"/>
          <w:szCs w:val="21"/>
        </w:rPr>
        <w:br w:type="page"/>
      </w:r>
    </w:p>
    <w:p>
      <w:pPr>
        <w:spacing w:line="600" w:lineRule="exact"/>
        <w:jc w:val="center"/>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行政单位通用办公设备配置标准表</w:t>
      </w:r>
    </w:p>
    <w:tbl>
      <w:tblPr>
        <w:tblStyle w:val="5"/>
        <w:tblpPr w:leftFromText="180" w:rightFromText="180" w:vertAnchor="text" w:horzAnchor="page" w:tblpX="1761" w:tblpY="455"/>
        <w:tblOverlap w:val="never"/>
        <w:tblW w:w="9017" w:type="dxa"/>
        <w:tblInd w:w="0" w:type="dxa"/>
        <w:tblLayout w:type="fixed"/>
        <w:tblCellMar>
          <w:top w:w="0" w:type="dxa"/>
          <w:left w:w="108" w:type="dxa"/>
          <w:bottom w:w="0" w:type="dxa"/>
          <w:right w:w="108" w:type="dxa"/>
        </w:tblCellMar>
      </w:tblPr>
      <w:tblGrid>
        <w:gridCol w:w="480"/>
        <w:gridCol w:w="300"/>
        <w:gridCol w:w="71"/>
        <w:gridCol w:w="709"/>
        <w:gridCol w:w="4456"/>
        <w:gridCol w:w="1158"/>
        <w:gridCol w:w="851"/>
        <w:gridCol w:w="992"/>
      </w:tblGrid>
      <w:tr>
        <w:tblPrEx>
          <w:tblLayout w:type="fixed"/>
          <w:tblCellMar>
            <w:top w:w="0" w:type="dxa"/>
            <w:left w:w="108" w:type="dxa"/>
            <w:bottom w:w="0" w:type="dxa"/>
            <w:right w:w="108" w:type="dxa"/>
          </w:tblCellMar>
        </w:tblPrEx>
        <w:trPr>
          <w:trHeight w:val="480" w:hRule="atLeast"/>
        </w:trPr>
        <w:tc>
          <w:tcPr>
            <w:tcW w:w="1560" w:type="dxa"/>
            <w:gridSpan w:val="4"/>
            <w:tcBorders>
              <w:top w:val="single" w:color="auto" w:sz="4" w:space="0"/>
              <w:left w:val="single" w:color="auto" w:sz="4" w:space="0"/>
              <w:bottom w:val="nil"/>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资产品目</w:t>
            </w:r>
          </w:p>
        </w:tc>
        <w:tc>
          <w:tcPr>
            <w:tcW w:w="445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数量上限（台）</w:t>
            </w:r>
          </w:p>
        </w:tc>
        <w:tc>
          <w:tcPr>
            <w:tcW w:w="115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20"/>
                <w:szCs w:val="20"/>
              </w:rPr>
            </w:pPr>
            <w:r>
              <w:rPr>
                <w:rFonts w:hint="eastAsia" w:ascii="宋体" w:hAnsi="宋体" w:cs="宋体"/>
                <w:kern w:val="0"/>
                <w:sz w:val="20"/>
                <w:szCs w:val="20"/>
              </w:rPr>
              <w:t>价格</w:t>
            </w:r>
          </w:p>
          <w:p>
            <w:pPr>
              <w:widowControl/>
              <w:spacing w:line="280" w:lineRule="exact"/>
              <w:jc w:val="center"/>
              <w:rPr>
                <w:rFonts w:ascii="宋体" w:hAnsi="宋体" w:cs="宋体"/>
                <w:kern w:val="0"/>
                <w:sz w:val="20"/>
                <w:szCs w:val="20"/>
              </w:rPr>
            </w:pPr>
            <w:r>
              <w:rPr>
                <w:rFonts w:hint="eastAsia" w:ascii="宋体" w:hAnsi="宋体" w:cs="宋体"/>
                <w:kern w:val="0"/>
                <w:sz w:val="20"/>
                <w:szCs w:val="20"/>
              </w:rPr>
              <w:t>上限（元）</w:t>
            </w:r>
          </w:p>
        </w:tc>
        <w:tc>
          <w:tcPr>
            <w:tcW w:w="851"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20"/>
                <w:szCs w:val="20"/>
              </w:rPr>
            </w:pPr>
            <w:r>
              <w:rPr>
                <w:rFonts w:hint="eastAsia" w:ascii="宋体" w:hAnsi="宋体" w:cs="宋体"/>
                <w:kern w:val="0"/>
                <w:sz w:val="20"/>
                <w:szCs w:val="20"/>
              </w:rPr>
              <w:t>最低使用年限</w:t>
            </w:r>
          </w:p>
          <w:p>
            <w:pPr>
              <w:widowControl/>
              <w:spacing w:line="280" w:lineRule="exact"/>
              <w:jc w:val="center"/>
              <w:rPr>
                <w:rFonts w:ascii="宋体" w:hAnsi="宋体" w:cs="宋体"/>
                <w:kern w:val="0"/>
                <w:sz w:val="20"/>
                <w:szCs w:val="20"/>
              </w:rPr>
            </w:pPr>
            <w:r>
              <w:rPr>
                <w:rFonts w:hint="eastAsia" w:ascii="宋体" w:hAnsi="宋体" w:cs="宋体"/>
                <w:kern w:val="0"/>
                <w:sz w:val="20"/>
                <w:szCs w:val="20"/>
              </w:rPr>
              <w:t>（年）</w:t>
            </w:r>
          </w:p>
        </w:tc>
        <w:tc>
          <w:tcPr>
            <w:tcW w:w="992" w:type="dxa"/>
            <w:tcBorders>
              <w:top w:val="single" w:color="auto" w:sz="4" w:space="0"/>
              <w:left w:val="nil"/>
              <w:bottom w:val="nil"/>
              <w:right w:val="single" w:color="auto" w:sz="4" w:space="0"/>
            </w:tcBorders>
            <w:vAlign w:val="center"/>
          </w:tcPr>
          <w:p>
            <w:pPr>
              <w:widowControl/>
              <w:spacing w:line="280" w:lineRule="exact"/>
              <w:jc w:val="center"/>
              <w:rPr>
                <w:rFonts w:hint="eastAsia" w:ascii="宋体" w:hAnsi="宋体" w:cs="宋体"/>
                <w:kern w:val="0"/>
                <w:sz w:val="20"/>
                <w:szCs w:val="20"/>
              </w:rPr>
            </w:pPr>
            <w:r>
              <w:rPr>
                <w:rFonts w:hint="eastAsia" w:ascii="宋体" w:hAnsi="宋体" w:cs="宋体"/>
                <w:kern w:val="0"/>
                <w:sz w:val="20"/>
                <w:szCs w:val="20"/>
              </w:rPr>
              <w:t>性能</w:t>
            </w:r>
          </w:p>
          <w:p>
            <w:pPr>
              <w:widowControl/>
              <w:spacing w:line="280" w:lineRule="exact"/>
              <w:jc w:val="center"/>
              <w:rPr>
                <w:rFonts w:ascii="宋体" w:hAnsi="宋体" w:cs="宋体"/>
                <w:kern w:val="0"/>
                <w:sz w:val="20"/>
                <w:szCs w:val="20"/>
              </w:rPr>
            </w:pPr>
            <w:r>
              <w:rPr>
                <w:rFonts w:hint="eastAsia" w:ascii="宋体" w:hAnsi="宋体" w:cs="宋体"/>
                <w:kern w:val="0"/>
                <w:sz w:val="20"/>
                <w:szCs w:val="20"/>
              </w:rPr>
              <w:t>要求</w:t>
            </w:r>
          </w:p>
        </w:tc>
      </w:tr>
      <w:tr>
        <w:tblPrEx>
          <w:tblLayout w:type="fixed"/>
          <w:tblCellMar>
            <w:top w:w="0" w:type="dxa"/>
            <w:left w:w="108" w:type="dxa"/>
            <w:bottom w:w="0" w:type="dxa"/>
            <w:right w:w="108" w:type="dxa"/>
          </w:tblCellMar>
        </w:tblPrEx>
        <w:trPr>
          <w:trHeight w:val="920" w:hRule="atLeast"/>
        </w:trPr>
        <w:tc>
          <w:tcPr>
            <w:tcW w:w="156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cs="宋体"/>
                <w:kern w:val="0"/>
                <w:sz w:val="18"/>
                <w:szCs w:val="18"/>
              </w:rPr>
            </w:pPr>
            <w:r>
              <w:rPr>
                <w:rFonts w:hint="eastAsia" w:ascii="宋体" w:hAnsi="宋体" w:cs="宋体"/>
                <w:kern w:val="0"/>
                <w:sz w:val="18"/>
                <w:szCs w:val="18"/>
              </w:rPr>
              <w:t>台式计算机</w:t>
            </w:r>
          </w:p>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（含预装正版操作系统软件）</w:t>
            </w:r>
          </w:p>
        </w:tc>
        <w:tc>
          <w:tcPr>
            <w:tcW w:w="4456" w:type="dxa"/>
            <w:vMerge w:val="restart"/>
            <w:tcBorders>
              <w:top w:val="single" w:color="auto" w:sz="4" w:space="0"/>
              <w:left w:val="nil"/>
              <w:right w:val="single" w:color="000000" w:sz="4" w:space="0"/>
            </w:tcBorders>
            <w:vAlign w:val="center"/>
          </w:tcPr>
          <w:p>
            <w:pPr>
              <w:widowControl/>
              <w:snapToGrid w:val="0"/>
              <w:spacing w:line="280" w:lineRule="exact"/>
              <w:jc w:val="left"/>
              <w:rPr>
                <w:rFonts w:ascii="宋体" w:hAnsi="宋体" w:cs="宋体"/>
                <w:kern w:val="0"/>
                <w:sz w:val="18"/>
                <w:szCs w:val="18"/>
              </w:rPr>
            </w:pPr>
            <w:r>
              <w:rPr>
                <w:rFonts w:hint="eastAsia" w:ascii="宋体" w:hAnsi="宋体" w:cs="宋体"/>
                <w:kern w:val="0"/>
                <w:sz w:val="18"/>
                <w:szCs w:val="18"/>
              </w:rPr>
              <w:t>台式计算机配置数量上限为单位编制人数的100%；便携式计算机配置数量上限为单位编制人数的50%。保密等特殊工作需要可以按规定另行增加配置。</w:t>
            </w: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w:t>
            </w:r>
          </w:p>
        </w:tc>
        <w:tc>
          <w:tcPr>
            <w:tcW w:w="851" w:type="dxa"/>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按照《中华人民共和国政府采购法》的规定，配置具有较强安全性、稳定性、兼容性，且能耗低、维修便利的设备，不得配置高端设备</w:t>
            </w:r>
          </w:p>
        </w:tc>
      </w:tr>
      <w:tr>
        <w:tblPrEx>
          <w:tblLayout w:type="fixed"/>
          <w:tblCellMar>
            <w:top w:w="0" w:type="dxa"/>
            <w:left w:w="108" w:type="dxa"/>
            <w:bottom w:w="0" w:type="dxa"/>
            <w:right w:w="108" w:type="dxa"/>
          </w:tblCellMar>
        </w:tblPrEx>
        <w:trPr>
          <w:trHeight w:val="769" w:hRule="atLeast"/>
        </w:trPr>
        <w:tc>
          <w:tcPr>
            <w:tcW w:w="1560" w:type="dxa"/>
            <w:gridSpan w:val="4"/>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cs="宋体"/>
                <w:kern w:val="0"/>
                <w:sz w:val="18"/>
                <w:szCs w:val="18"/>
              </w:rPr>
            </w:pPr>
            <w:r>
              <w:rPr>
                <w:rFonts w:hint="eastAsia" w:ascii="宋体" w:hAnsi="宋体" w:cs="宋体"/>
                <w:kern w:val="0"/>
                <w:sz w:val="18"/>
                <w:szCs w:val="18"/>
              </w:rPr>
              <w:t>便携式计算机</w:t>
            </w:r>
          </w:p>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（含预装正版操作系统软件）</w:t>
            </w:r>
          </w:p>
        </w:tc>
        <w:tc>
          <w:tcPr>
            <w:tcW w:w="4456" w:type="dxa"/>
            <w:vMerge w:val="continue"/>
            <w:tcBorders>
              <w:left w:val="nil"/>
              <w:bottom w:val="single" w:color="auto" w:sz="4" w:space="0"/>
              <w:right w:val="single" w:color="000000" w:sz="4" w:space="0"/>
            </w:tcBorders>
            <w:vAlign w:val="center"/>
          </w:tcPr>
          <w:p>
            <w:pPr>
              <w:widowControl/>
              <w:snapToGrid w:val="0"/>
              <w:spacing w:line="280" w:lineRule="exact"/>
              <w:jc w:val="left"/>
              <w:rPr>
                <w:rFonts w:ascii="宋体" w:hAnsi="宋体" w:cs="宋体"/>
                <w:kern w:val="0"/>
                <w:sz w:val="18"/>
                <w:szCs w:val="18"/>
              </w:rPr>
            </w:pP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7,000</w:t>
            </w:r>
          </w:p>
        </w:tc>
        <w:tc>
          <w:tcPr>
            <w:tcW w:w="851" w:type="dxa"/>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435" w:hRule="atLeast"/>
        </w:trPr>
        <w:tc>
          <w:tcPr>
            <w:tcW w:w="480" w:type="dxa"/>
            <w:vMerge w:val="restart"/>
            <w:tcBorders>
              <w:top w:val="nil"/>
              <w:left w:val="single" w:color="auto" w:sz="4" w:space="0"/>
              <w:bottom w:val="single" w:color="auto" w:sz="4" w:space="0"/>
              <w:right w:val="single" w:color="000000"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打印机</w:t>
            </w:r>
          </w:p>
        </w:tc>
        <w:tc>
          <w:tcPr>
            <w:tcW w:w="371" w:type="dxa"/>
            <w:gridSpan w:val="2"/>
            <w:vMerge w:val="restart"/>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A4</w:t>
            </w:r>
          </w:p>
        </w:tc>
        <w:tc>
          <w:tcPr>
            <w:tcW w:w="709" w:type="dxa"/>
            <w:tcBorders>
              <w:top w:val="nil"/>
              <w:left w:val="nil"/>
              <w:bottom w:val="single" w:color="auto" w:sz="4" w:space="0"/>
              <w:right w:val="nil"/>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黑白</w:t>
            </w:r>
          </w:p>
        </w:tc>
        <w:tc>
          <w:tcPr>
            <w:tcW w:w="445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ascii="宋体" w:hAnsi="宋体" w:cs="宋体"/>
                <w:kern w:val="0"/>
                <w:sz w:val="18"/>
                <w:szCs w:val="18"/>
              </w:rPr>
            </w:pPr>
            <w:r>
              <w:rPr>
                <w:rFonts w:hint="eastAsia" w:ascii="宋体" w:hAnsi="宋体" w:cs="宋体"/>
                <w:kern w:val="0"/>
                <w:sz w:val="18"/>
                <w:szCs w:val="18"/>
              </w:rPr>
              <w:t>A4打印机的配置数量上限按单位编制人数的50%计算， A3打印机配置数量上限按单位编制人数的15%计算。原则上不配备彩色打印机，确有需要的，在打印机编制总额内合理配置。</w:t>
            </w: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w:t>
            </w:r>
          </w:p>
        </w:tc>
        <w:tc>
          <w:tcPr>
            <w:tcW w:w="851" w:type="dxa"/>
            <w:vMerge w:val="restart"/>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405" w:hRule="atLeast"/>
        </w:trPr>
        <w:tc>
          <w:tcPr>
            <w:tcW w:w="480" w:type="dxa"/>
            <w:vMerge w:val="continue"/>
            <w:tcBorders>
              <w:top w:val="nil"/>
              <w:left w:val="single" w:color="auto" w:sz="4" w:space="0"/>
              <w:bottom w:val="single" w:color="auto" w:sz="4" w:space="0"/>
              <w:right w:val="single" w:color="000000" w:sz="4" w:space="0"/>
            </w:tcBorders>
            <w:vAlign w:val="center"/>
          </w:tcPr>
          <w:p>
            <w:pPr>
              <w:widowControl/>
              <w:snapToGrid w:val="0"/>
              <w:spacing w:line="280" w:lineRule="exact"/>
              <w:jc w:val="left"/>
              <w:rPr>
                <w:rFonts w:ascii="宋体" w:hAnsi="宋体" w:cs="宋体"/>
                <w:kern w:val="0"/>
                <w:sz w:val="18"/>
                <w:szCs w:val="18"/>
              </w:rPr>
            </w:pPr>
          </w:p>
        </w:tc>
        <w:tc>
          <w:tcPr>
            <w:tcW w:w="371" w:type="dxa"/>
            <w:gridSpan w:val="2"/>
            <w:vMerge w:val="continue"/>
            <w:tcBorders>
              <w:top w:val="nil"/>
              <w:left w:val="single" w:color="auto" w:sz="4" w:space="0"/>
              <w:bottom w:val="single" w:color="auto" w:sz="4" w:space="0"/>
              <w:right w:val="single" w:color="auto" w:sz="4" w:space="0"/>
            </w:tcBorders>
            <w:vAlign w:val="center"/>
          </w:tcPr>
          <w:p>
            <w:pPr>
              <w:widowControl/>
              <w:snapToGrid w:val="0"/>
              <w:spacing w:line="280" w:lineRule="exact"/>
              <w:jc w:val="left"/>
              <w:rPr>
                <w:rFonts w:ascii="宋体" w:hAnsi="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彩色</w:t>
            </w:r>
          </w:p>
        </w:tc>
        <w:tc>
          <w:tcPr>
            <w:tcW w:w="445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ascii="宋体" w:hAnsi="宋体" w:cs="宋体"/>
                <w:kern w:val="0"/>
                <w:sz w:val="18"/>
                <w:szCs w:val="18"/>
              </w:rPr>
            </w:pPr>
          </w:p>
        </w:tc>
        <w:tc>
          <w:tcPr>
            <w:tcW w:w="11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2,500</w:t>
            </w:r>
          </w:p>
        </w:tc>
        <w:tc>
          <w:tcPr>
            <w:tcW w:w="851" w:type="dxa"/>
            <w:vMerge w:val="continue"/>
            <w:tcBorders>
              <w:top w:val="nil"/>
              <w:left w:val="nil"/>
              <w:bottom w:val="single" w:color="auto" w:sz="4" w:space="0"/>
              <w:right w:val="nil"/>
            </w:tcBorders>
            <w:vAlign w:val="center"/>
          </w:tcPr>
          <w:p>
            <w:pPr>
              <w:widowControl/>
              <w:spacing w:line="280" w:lineRule="exact"/>
              <w:jc w:val="left"/>
              <w:rPr>
                <w:rFonts w:ascii="宋体" w:hAnsi="宋体" w:cs="宋体"/>
                <w:kern w:val="0"/>
                <w:sz w:val="18"/>
                <w:szCs w:val="18"/>
              </w:rPr>
            </w:pP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420" w:hRule="atLeast"/>
        </w:trPr>
        <w:tc>
          <w:tcPr>
            <w:tcW w:w="480" w:type="dxa"/>
            <w:vMerge w:val="continue"/>
            <w:tcBorders>
              <w:top w:val="nil"/>
              <w:left w:val="single" w:color="auto" w:sz="4" w:space="0"/>
              <w:bottom w:val="single" w:color="auto" w:sz="4" w:space="0"/>
              <w:right w:val="single" w:color="000000" w:sz="4" w:space="0"/>
            </w:tcBorders>
            <w:vAlign w:val="center"/>
          </w:tcPr>
          <w:p>
            <w:pPr>
              <w:widowControl/>
              <w:snapToGrid w:val="0"/>
              <w:spacing w:line="280" w:lineRule="exact"/>
              <w:jc w:val="left"/>
              <w:rPr>
                <w:rFonts w:ascii="宋体" w:hAnsi="宋体" w:cs="宋体"/>
                <w:kern w:val="0"/>
                <w:sz w:val="18"/>
                <w:szCs w:val="18"/>
              </w:rPr>
            </w:pPr>
          </w:p>
        </w:tc>
        <w:tc>
          <w:tcPr>
            <w:tcW w:w="371" w:type="dxa"/>
            <w:gridSpan w:val="2"/>
            <w:vMerge w:val="restart"/>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A3</w:t>
            </w:r>
          </w:p>
        </w:tc>
        <w:tc>
          <w:tcPr>
            <w:tcW w:w="709" w:type="dxa"/>
            <w:tcBorders>
              <w:top w:val="nil"/>
              <w:left w:val="nil"/>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黑白</w:t>
            </w:r>
          </w:p>
        </w:tc>
        <w:tc>
          <w:tcPr>
            <w:tcW w:w="445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ascii="宋体" w:hAnsi="宋体" w:cs="宋体"/>
                <w:kern w:val="0"/>
                <w:sz w:val="18"/>
                <w:szCs w:val="18"/>
              </w:rPr>
            </w:pPr>
          </w:p>
        </w:tc>
        <w:tc>
          <w:tcPr>
            <w:tcW w:w="11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7,600</w:t>
            </w:r>
          </w:p>
        </w:tc>
        <w:tc>
          <w:tcPr>
            <w:tcW w:w="851" w:type="dxa"/>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406" w:hRule="atLeast"/>
        </w:trPr>
        <w:tc>
          <w:tcPr>
            <w:tcW w:w="480" w:type="dxa"/>
            <w:vMerge w:val="continue"/>
            <w:tcBorders>
              <w:top w:val="nil"/>
              <w:left w:val="single" w:color="auto" w:sz="4" w:space="0"/>
              <w:bottom w:val="single" w:color="auto" w:sz="4" w:space="0"/>
              <w:right w:val="single" w:color="000000" w:sz="4" w:space="0"/>
            </w:tcBorders>
            <w:vAlign w:val="center"/>
          </w:tcPr>
          <w:p>
            <w:pPr>
              <w:widowControl/>
              <w:snapToGrid w:val="0"/>
              <w:spacing w:line="280" w:lineRule="exact"/>
              <w:jc w:val="left"/>
              <w:rPr>
                <w:rFonts w:ascii="宋体" w:hAnsi="宋体" w:cs="宋体"/>
                <w:kern w:val="0"/>
                <w:sz w:val="18"/>
                <w:szCs w:val="18"/>
              </w:rPr>
            </w:pPr>
          </w:p>
        </w:tc>
        <w:tc>
          <w:tcPr>
            <w:tcW w:w="371" w:type="dxa"/>
            <w:gridSpan w:val="2"/>
            <w:vMerge w:val="continue"/>
            <w:tcBorders>
              <w:top w:val="nil"/>
              <w:left w:val="single" w:color="auto" w:sz="4" w:space="0"/>
              <w:bottom w:val="single" w:color="auto" w:sz="4" w:space="0"/>
              <w:right w:val="single" w:color="auto" w:sz="4" w:space="0"/>
            </w:tcBorders>
            <w:vAlign w:val="center"/>
          </w:tcPr>
          <w:p>
            <w:pPr>
              <w:widowControl/>
              <w:snapToGrid w:val="0"/>
              <w:spacing w:line="280" w:lineRule="exact"/>
              <w:jc w:val="left"/>
              <w:rPr>
                <w:rFonts w:ascii="宋体" w:hAnsi="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彩色</w:t>
            </w:r>
          </w:p>
        </w:tc>
        <w:tc>
          <w:tcPr>
            <w:tcW w:w="445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ascii="宋体" w:hAnsi="宋体" w:cs="宋体"/>
                <w:kern w:val="0"/>
                <w:sz w:val="18"/>
                <w:szCs w:val="18"/>
              </w:rPr>
            </w:pPr>
          </w:p>
        </w:tc>
        <w:tc>
          <w:tcPr>
            <w:tcW w:w="11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15,000</w:t>
            </w:r>
          </w:p>
        </w:tc>
        <w:tc>
          <w:tcPr>
            <w:tcW w:w="851" w:type="dxa"/>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510" w:hRule="atLeast"/>
        </w:trPr>
        <w:tc>
          <w:tcPr>
            <w:tcW w:w="480" w:type="dxa"/>
            <w:vMerge w:val="continue"/>
            <w:tcBorders>
              <w:top w:val="nil"/>
              <w:left w:val="single" w:color="auto" w:sz="4" w:space="0"/>
              <w:bottom w:val="single" w:color="auto" w:sz="4" w:space="0"/>
              <w:right w:val="single" w:color="000000" w:sz="4" w:space="0"/>
            </w:tcBorders>
            <w:vAlign w:val="center"/>
          </w:tcPr>
          <w:p>
            <w:pPr>
              <w:widowControl/>
              <w:snapToGrid w:val="0"/>
              <w:spacing w:line="280" w:lineRule="exact"/>
              <w:jc w:val="left"/>
              <w:rPr>
                <w:rFonts w:ascii="宋体" w:hAnsi="宋体" w:cs="宋体"/>
                <w:kern w:val="0"/>
                <w:sz w:val="18"/>
                <w:szCs w:val="18"/>
              </w:rPr>
            </w:pPr>
          </w:p>
        </w:tc>
        <w:tc>
          <w:tcPr>
            <w:tcW w:w="1080" w:type="dxa"/>
            <w:gridSpan w:val="3"/>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票据</w:t>
            </w:r>
            <w:r>
              <w:rPr>
                <w:rFonts w:hint="eastAsia" w:ascii="宋体" w:hAnsi="宋体" w:cs="宋体"/>
                <w:kern w:val="0"/>
                <w:sz w:val="18"/>
                <w:szCs w:val="18"/>
              </w:rPr>
              <w:br w:type="textWrapping"/>
            </w:r>
            <w:r>
              <w:rPr>
                <w:rFonts w:hint="eastAsia" w:ascii="宋体" w:hAnsi="宋体" w:cs="宋体"/>
                <w:kern w:val="0"/>
                <w:sz w:val="18"/>
                <w:szCs w:val="18"/>
              </w:rPr>
              <w:t>打印机</w:t>
            </w:r>
          </w:p>
        </w:tc>
        <w:tc>
          <w:tcPr>
            <w:tcW w:w="4456" w:type="dxa"/>
            <w:tcBorders>
              <w:top w:val="nil"/>
              <w:left w:val="nil"/>
              <w:bottom w:val="single" w:color="auto" w:sz="4" w:space="0"/>
              <w:right w:val="single" w:color="auto" w:sz="4" w:space="0"/>
            </w:tcBorders>
            <w:vAlign w:val="center"/>
          </w:tcPr>
          <w:p>
            <w:pPr>
              <w:widowControl/>
              <w:snapToGrid w:val="0"/>
              <w:spacing w:line="280" w:lineRule="exact"/>
              <w:jc w:val="left"/>
              <w:rPr>
                <w:rFonts w:ascii="宋体" w:hAnsi="宋体" w:cs="宋体"/>
                <w:kern w:val="0"/>
                <w:sz w:val="18"/>
                <w:szCs w:val="18"/>
              </w:rPr>
            </w:pPr>
            <w:r>
              <w:rPr>
                <w:rFonts w:hint="eastAsia" w:ascii="宋体" w:hAnsi="宋体" w:cs="宋体"/>
                <w:kern w:val="0"/>
                <w:sz w:val="18"/>
                <w:szCs w:val="18"/>
              </w:rPr>
              <w:t>根据单位职能和工作需要合理配置。</w:t>
            </w: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3,000</w:t>
            </w:r>
          </w:p>
        </w:tc>
        <w:tc>
          <w:tcPr>
            <w:tcW w:w="851" w:type="dxa"/>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1359" w:hRule="atLeast"/>
        </w:trPr>
        <w:tc>
          <w:tcPr>
            <w:tcW w:w="1560" w:type="dxa"/>
            <w:gridSpan w:val="4"/>
            <w:tcBorders>
              <w:top w:val="single" w:color="auto" w:sz="4" w:space="0"/>
              <w:left w:val="single" w:color="auto" w:sz="4" w:space="0"/>
              <w:bottom w:val="nil"/>
              <w:right w:val="single" w:color="000000"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复印机</w:t>
            </w:r>
          </w:p>
        </w:tc>
        <w:tc>
          <w:tcPr>
            <w:tcW w:w="4456" w:type="dxa"/>
            <w:tcBorders>
              <w:top w:val="single" w:color="auto" w:sz="4" w:space="0"/>
              <w:left w:val="nil"/>
              <w:bottom w:val="nil"/>
              <w:right w:val="single" w:color="000000" w:sz="4" w:space="0"/>
            </w:tcBorders>
            <w:vAlign w:val="center"/>
          </w:tcPr>
          <w:p>
            <w:pPr>
              <w:widowControl/>
              <w:snapToGrid w:val="0"/>
              <w:spacing w:line="280" w:lineRule="exact"/>
              <w:jc w:val="left"/>
              <w:rPr>
                <w:rFonts w:ascii="宋体" w:hAnsi="宋体" w:cs="宋体"/>
                <w:kern w:val="0"/>
                <w:sz w:val="18"/>
                <w:szCs w:val="18"/>
              </w:rPr>
            </w:pPr>
            <w:r>
              <w:rPr>
                <w:rFonts w:hint="eastAsia" w:ascii="宋体" w:hAnsi="宋体" w:cs="宋体"/>
                <w:kern w:val="0"/>
                <w:sz w:val="18"/>
                <w:szCs w:val="18"/>
              </w:rPr>
              <w:t>编制人数在100人以内的单位，每20人可以配置1台复印机，不足20人的按20人计算；编制人数在100人以上的单位，超出100人的部分每30人可以配置1台复印机，不足30人的按30人计算。</w:t>
            </w: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35,000</w:t>
            </w:r>
          </w:p>
        </w:tc>
        <w:tc>
          <w:tcPr>
            <w:tcW w:w="851" w:type="dxa"/>
            <w:tcBorders>
              <w:top w:val="nil"/>
              <w:left w:val="nil"/>
              <w:bottom w:val="nil"/>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6年或复印30万张纸</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782" w:hRule="atLeast"/>
        </w:trPr>
        <w:tc>
          <w:tcPr>
            <w:tcW w:w="156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一体机/传真机</w:t>
            </w:r>
          </w:p>
        </w:tc>
        <w:tc>
          <w:tcPr>
            <w:tcW w:w="4456" w:type="dxa"/>
            <w:tcBorders>
              <w:top w:val="single" w:color="auto" w:sz="4" w:space="0"/>
              <w:left w:val="nil"/>
              <w:bottom w:val="single" w:color="auto" w:sz="4" w:space="0"/>
              <w:right w:val="single" w:color="000000" w:sz="4" w:space="0"/>
            </w:tcBorders>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配置数量上限按单位编制人数的20%计算，同时相应减少打印机、扫描仪配置。</w:t>
            </w: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3,000</w:t>
            </w:r>
          </w:p>
        </w:tc>
        <w:tc>
          <w:tcPr>
            <w:tcW w:w="851" w:type="dxa"/>
            <w:tcBorders>
              <w:top w:val="single" w:color="auto" w:sz="4" w:space="0"/>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674" w:hRule="atLeast"/>
        </w:trPr>
        <w:tc>
          <w:tcPr>
            <w:tcW w:w="1560" w:type="dxa"/>
            <w:gridSpan w:val="4"/>
            <w:tcBorders>
              <w:top w:val="single" w:color="auto" w:sz="4" w:space="0"/>
              <w:left w:val="single" w:color="auto" w:sz="4" w:space="0"/>
              <w:bottom w:val="nil"/>
              <w:right w:val="single" w:color="000000"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扫描仪</w:t>
            </w:r>
          </w:p>
        </w:tc>
        <w:tc>
          <w:tcPr>
            <w:tcW w:w="4456" w:type="dxa"/>
            <w:tcBorders>
              <w:top w:val="single" w:color="auto" w:sz="4" w:space="0"/>
              <w:left w:val="nil"/>
              <w:bottom w:val="single" w:color="auto" w:sz="4" w:space="0"/>
              <w:right w:val="single" w:color="000000" w:sz="4" w:space="0"/>
            </w:tcBorders>
            <w:vAlign w:val="center"/>
          </w:tcPr>
          <w:p>
            <w:pPr>
              <w:widowControl/>
              <w:snapToGrid w:val="0"/>
              <w:spacing w:line="280" w:lineRule="exact"/>
              <w:jc w:val="left"/>
              <w:rPr>
                <w:rFonts w:ascii="宋体" w:hAnsi="宋体" w:cs="宋体"/>
                <w:kern w:val="0"/>
                <w:sz w:val="18"/>
                <w:szCs w:val="18"/>
              </w:rPr>
            </w:pPr>
            <w:r>
              <w:rPr>
                <w:rFonts w:hint="eastAsia" w:ascii="宋体" w:hAnsi="宋体" w:cs="宋体"/>
                <w:kern w:val="0"/>
                <w:sz w:val="18"/>
                <w:szCs w:val="18"/>
              </w:rPr>
              <w:t>配置数量上限按单位编制人数的5%计算。</w:t>
            </w: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3,000</w:t>
            </w:r>
          </w:p>
        </w:tc>
        <w:tc>
          <w:tcPr>
            <w:tcW w:w="851" w:type="dxa"/>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613" w:hRule="atLeast"/>
        </w:trPr>
        <w:tc>
          <w:tcPr>
            <w:tcW w:w="156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碎纸机</w:t>
            </w:r>
          </w:p>
        </w:tc>
        <w:tc>
          <w:tcPr>
            <w:tcW w:w="4456" w:type="dxa"/>
            <w:tcBorders>
              <w:top w:val="single" w:color="auto" w:sz="4" w:space="0"/>
              <w:left w:val="nil"/>
              <w:bottom w:val="single" w:color="auto" w:sz="4" w:space="0"/>
              <w:right w:val="single" w:color="000000" w:sz="4" w:space="0"/>
            </w:tcBorders>
            <w:vAlign w:val="center"/>
          </w:tcPr>
          <w:p>
            <w:pPr>
              <w:widowControl/>
              <w:snapToGrid w:val="0"/>
              <w:spacing w:line="280" w:lineRule="exact"/>
              <w:jc w:val="left"/>
              <w:rPr>
                <w:rFonts w:ascii="宋体" w:hAnsi="宋体" w:cs="宋体"/>
                <w:kern w:val="0"/>
                <w:sz w:val="18"/>
                <w:szCs w:val="18"/>
              </w:rPr>
            </w:pPr>
            <w:r>
              <w:rPr>
                <w:rFonts w:hint="eastAsia" w:ascii="宋体" w:hAnsi="宋体" w:cs="宋体"/>
                <w:kern w:val="0"/>
                <w:sz w:val="18"/>
                <w:szCs w:val="18"/>
              </w:rPr>
              <w:t>配置数量上限按单位编制人数的5%计算。</w:t>
            </w: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w:t>
            </w:r>
          </w:p>
        </w:tc>
        <w:tc>
          <w:tcPr>
            <w:tcW w:w="851" w:type="dxa"/>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704" w:hRule="atLeast"/>
        </w:trPr>
        <w:tc>
          <w:tcPr>
            <w:tcW w:w="156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宋体" w:hAnsi="宋体" w:cs="宋体"/>
                <w:kern w:val="0"/>
                <w:sz w:val="18"/>
                <w:szCs w:val="18"/>
              </w:rPr>
            </w:pPr>
            <w:r>
              <w:rPr>
                <w:rFonts w:hint="eastAsia" w:ascii="宋体" w:hAnsi="宋体" w:cs="宋体"/>
                <w:kern w:val="0"/>
                <w:sz w:val="18"/>
                <w:szCs w:val="18"/>
              </w:rPr>
              <w:t>投影仪</w:t>
            </w:r>
          </w:p>
        </w:tc>
        <w:tc>
          <w:tcPr>
            <w:tcW w:w="4456" w:type="dxa"/>
            <w:tcBorders>
              <w:top w:val="single" w:color="auto" w:sz="4" w:space="0"/>
              <w:left w:val="nil"/>
              <w:bottom w:val="single" w:color="auto" w:sz="4" w:space="0"/>
              <w:right w:val="single" w:color="000000" w:sz="4" w:space="0"/>
            </w:tcBorders>
            <w:vAlign w:val="center"/>
          </w:tcPr>
          <w:p>
            <w:pPr>
              <w:widowControl/>
              <w:snapToGrid w:val="0"/>
              <w:spacing w:line="280" w:lineRule="exact"/>
              <w:jc w:val="left"/>
              <w:rPr>
                <w:rFonts w:ascii="宋体" w:hAnsi="宋体" w:cs="宋体"/>
                <w:kern w:val="0"/>
                <w:sz w:val="18"/>
                <w:szCs w:val="18"/>
              </w:rPr>
            </w:pPr>
            <w:r>
              <w:rPr>
                <w:rFonts w:hint="eastAsia" w:ascii="宋体" w:hAnsi="宋体" w:cs="宋体"/>
                <w:kern w:val="0"/>
                <w:sz w:val="18"/>
                <w:szCs w:val="18"/>
              </w:rPr>
              <w:t>编制人数在100人以内的单位，每20人可以配置1台投影仪，不足20人的按20人计算；编制内实有人数在100人以上的单位，超出100人的部分每30人可以配置1台投影仪，不足30人的按30人计算。</w:t>
            </w:r>
          </w:p>
        </w:tc>
        <w:tc>
          <w:tcPr>
            <w:tcW w:w="115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10,000</w:t>
            </w:r>
          </w:p>
        </w:tc>
        <w:tc>
          <w:tcPr>
            <w:tcW w:w="851" w:type="dxa"/>
            <w:tcBorders>
              <w:top w:val="nil"/>
              <w:left w:val="nil"/>
              <w:bottom w:val="single" w:color="auto" w:sz="4" w:space="0"/>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 xml:space="preserve"> </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419" w:hRule="atLeast"/>
        </w:trPr>
        <w:tc>
          <w:tcPr>
            <w:tcW w:w="780" w:type="dxa"/>
            <w:gridSpan w:val="2"/>
            <w:vMerge w:val="restart"/>
            <w:tcBorders>
              <w:top w:val="single" w:color="auto" w:sz="4" w:space="0"/>
              <w:left w:val="single" w:color="auto" w:sz="4" w:space="0"/>
              <w:right w:val="single" w:color="auto" w:sz="4" w:space="0"/>
            </w:tcBorders>
            <w:vAlign w:val="center"/>
          </w:tcPr>
          <w:p>
            <w:pPr>
              <w:widowControl/>
              <w:snapToGrid w:val="0"/>
              <w:spacing w:line="280" w:lineRule="exact"/>
              <w:jc w:val="center"/>
              <w:rPr>
                <w:rFonts w:hint="eastAsia" w:ascii="宋体" w:hAnsi="宋体" w:cs="宋体"/>
                <w:kern w:val="0"/>
                <w:sz w:val="18"/>
                <w:szCs w:val="18"/>
              </w:rPr>
            </w:pPr>
            <w:r>
              <w:rPr>
                <w:rFonts w:hint="eastAsia" w:ascii="宋体" w:hAnsi="宋体" w:cs="宋体"/>
                <w:kern w:val="0"/>
                <w:sz w:val="18"/>
                <w:szCs w:val="18"/>
              </w:rPr>
              <w:t>空调</w:t>
            </w:r>
          </w:p>
        </w:tc>
        <w:tc>
          <w:tcPr>
            <w:tcW w:w="78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cs="宋体"/>
                <w:kern w:val="0"/>
                <w:sz w:val="18"/>
                <w:szCs w:val="18"/>
              </w:rPr>
            </w:pPr>
            <w:r>
              <w:rPr>
                <w:rFonts w:hint="eastAsia" w:ascii="宋体" w:hAnsi="宋体" w:cs="宋体"/>
                <w:kern w:val="0"/>
                <w:sz w:val="18"/>
                <w:szCs w:val="18"/>
              </w:rPr>
              <w:t>壁挂式</w:t>
            </w:r>
          </w:p>
        </w:tc>
        <w:tc>
          <w:tcPr>
            <w:tcW w:w="4456" w:type="dxa"/>
            <w:vMerge w:val="restart"/>
            <w:tcBorders>
              <w:top w:val="single" w:color="auto" w:sz="4" w:space="0"/>
              <w:left w:val="nil"/>
              <w:right w:val="single" w:color="auto" w:sz="4" w:space="0"/>
            </w:tcBorders>
            <w:vAlign w:val="center"/>
          </w:tcPr>
          <w:p>
            <w:pPr>
              <w:widowControl/>
              <w:snapToGrid w:val="0"/>
              <w:spacing w:line="280" w:lineRule="exact"/>
              <w:jc w:val="left"/>
              <w:rPr>
                <w:rFonts w:hint="eastAsia" w:ascii="宋体" w:hAnsi="宋体" w:cs="宋体"/>
                <w:kern w:val="0"/>
                <w:sz w:val="18"/>
                <w:szCs w:val="18"/>
              </w:rPr>
            </w:pPr>
            <w:r>
              <w:rPr>
                <w:rFonts w:hint="eastAsia" w:ascii="宋体" w:hAnsi="宋体" w:cs="宋体"/>
                <w:kern w:val="0"/>
                <w:sz w:val="18"/>
                <w:szCs w:val="18"/>
              </w:rPr>
              <w:t>按需要配置，已安装中央空调的原则上不得再配置。</w:t>
            </w:r>
          </w:p>
        </w:tc>
        <w:tc>
          <w:tcPr>
            <w:tcW w:w="115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12</w:t>
            </w:r>
          </w:p>
        </w:tc>
        <w:tc>
          <w:tcPr>
            <w:tcW w:w="992"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90" w:hRule="atLeast"/>
        </w:trPr>
        <w:tc>
          <w:tcPr>
            <w:tcW w:w="780" w:type="dxa"/>
            <w:gridSpan w:val="2"/>
            <w:vMerge w:val="continue"/>
            <w:tcBorders>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cs="宋体"/>
                <w:kern w:val="0"/>
                <w:sz w:val="18"/>
                <w:szCs w:val="1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宋体" w:hAnsi="宋体" w:cs="宋体"/>
                <w:kern w:val="0"/>
                <w:sz w:val="18"/>
                <w:szCs w:val="18"/>
              </w:rPr>
            </w:pPr>
            <w:r>
              <w:rPr>
                <w:rFonts w:hint="eastAsia" w:ascii="宋体" w:hAnsi="宋体" w:cs="宋体"/>
                <w:kern w:val="0"/>
                <w:sz w:val="18"/>
                <w:szCs w:val="18"/>
              </w:rPr>
              <w:t>柜式</w:t>
            </w:r>
          </w:p>
        </w:tc>
        <w:tc>
          <w:tcPr>
            <w:tcW w:w="4456" w:type="dxa"/>
            <w:vMerge w:val="continue"/>
            <w:tcBorders>
              <w:left w:val="nil"/>
              <w:bottom w:val="single" w:color="auto" w:sz="4" w:space="0"/>
              <w:right w:val="single" w:color="auto" w:sz="4" w:space="0"/>
            </w:tcBorders>
            <w:vAlign w:val="center"/>
          </w:tcPr>
          <w:p>
            <w:pPr>
              <w:widowControl/>
              <w:snapToGrid w:val="0"/>
              <w:spacing w:line="280" w:lineRule="exact"/>
              <w:jc w:val="left"/>
              <w:rPr>
                <w:rFonts w:hint="eastAsia" w:ascii="宋体" w:hAnsi="宋体" w:cs="宋体"/>
                <w:kern w:val="0"/>
                <w:sz w:val="18"/>
                <w:szCs w:val="18"/>
              </w:rPr>
            </w:pPr>
          </w:p>
        </w:tc>
        <w:tc>
          <w:tcPr>
            <w:tcW w:w="115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12</w:t>
            </w:r>
          </w:p>
        </w:tc>
        <w:tc>
          <w:tcPr>
            <w:tcW w:w="992"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bl>
    <w:tbl>
      <w:tblPr>
        <w:tblStyle w:val="5"/>
        <w:tblW w:w="9368" w:type="dxa"/>
        <w:tblInd w:w="96" w:type="dxa"/>
        <w:tblLayout w:type="fixed"/>
        <w:tblCellMar>
          <w:top w:w="0" w:type="dxa"/>
          <w:left w:w="108" w:type="dxa"/>
          <w:bottom w:w="0" w:type="dxa"/>
          <w:right w:w="108" w:type="dxa"/>
        </w:tblCellMar>
      </w:tblPr>
      <w:tblGrid>
        <w:gridCol w:w="8422"/>
        <w:gridCol w:w="946"/>
      </w:tblGrid>
      <w:tr>
        <w:tblPrEx>
          <w:tblLayout w:type="fixed"/>
          <w:tblCellMar>
            <w:top w:w="0" w:type="dxa"/>
            <w:left w:w="108" w:type="dxa"/>
            <w:bottom w:w="0" w:type="dxa"/>
            <w:right w:w="108" w:type="dxa"/>
          </w:tblCellMar>
        </w:tblPrEx>
        <w:trPr>
          <w:trHeight w:val="342" w:hRule="atLeast"/>
        </w:trPr>
        <w:tc>
          <w:tcPr>
            <w:tcW w:w="8422" w:type="dxa"/>
            <w:tcBorders>
              <w:top w:val="nil"/>
              <w:left w:val="nil"/>
              <w:bottom w:val="nil"/>
              <w:right w:val="nil"/>
            </w:tcBorders>
            <w:vAlign w:val="center"/>
          </w:tcPr>
          <w:p>
            <w:pPr>
              <w:spacing w:line="280" w:lineRule="exact"/>
              <w:ind w:firstLine="420" w:firstLineChars="200"/>
              <w:outlineLvl w:val="0"/>
              <w:rPr>
                <w:rFonts w:hint="eastAsia" w:ascii="宋体" w:hAnsi="宋体"/>
                <w:sz w:val="18"/>
                <w:szCs w:val="18"/>
              </w:rPr>
            </w:pPr>
            <w:r>
              <w:rPr>
                <w:rFonts w:hint="eastAsia" w:ascii="仿宋_GB2312" w:hAnsi="宋体" w:eastAsia="仿宋_GB2312"/>
                <w:szCs w:val="21"/>
              </w:rPr>
              <w:t xml:space="preserve"> </w:t>
            </w:r>
            <w:r>
              <w:rPr>
                <w:rFonts w:hint="eastAsia" w:ascii="宋体" w:hAnsi="宋体"/>
                <w:sz w:val="18"/>
                <w:szCs w:val="18"/>
              </w:rPr>
              <w:t>注：价格上限中的价格指单台设备的价格。所列通用办公设备不含特殊需要的专业设备。</w:t>
            </w:r>
          </w:p>
          <w:p>
            <w:pPr>
              <w:widowControl/>
              <w:spacing w:line="280" w:lineRule="exact"/>
              <w:jc w:val="left"/>
              <w:rPr>
                <w:rFonts w:ascii="宋体" w:hAnsi="宋体" w:cs="宋体"/>
                <w:kern w:val="0"/>
                <w:sz w:val="24"/>
              </w:rPr>
            </w:pPr>
          </w:p>
        </w:tc>
        <w:tc>
          <w:tcPr>
            <w:tcW w:w="946" w:type="dxa"/>
            <w:tcBorders>
              <w:top w:val="nil"/>
              <w:left w:val="nil"/>
              <w:bottom w:val="nil"/>
              <w:right w:val="nil"/>
            </w:tcBorders>
            <w:vAlign w:val="center"/>
          </w:tcPr>
          <w:p>
            <w:pPr>
              <w:widowControl/>
              <w:spacing w:line="280" w:lineRule="exact"/>
              <w:jc w:val="left"/>
              <w:rPr>
                <w:rFonts w:ascii="宋体" w:hAnsi="宋体" w:cs="宋体"/>
                <w:kern w:val="0"/>
                <w:sz w:val="24"/>
              </w:rPr>
            </w:pPr>
          </w:p>
        </w:tc>
      </w:tr>
    </w:tbl>
    <w:p>
      <w:pPr>
        <w:pStyle w:val="2"/>
        <w:spacing w:before="0" w:beforeAutospacing="0" w:after="0" w:afterAutospacing="0" w:line="600" w:lineRule="atLeast"/>
        <w:ind w:firstLine="480"/>
        <w:rPr>
          <w:rFonts w:hint="eastAsia"/>
          <w:color w:val="000000"/>
          <w:szCs w:val="21"/>
        </w:rPr>
      </w:pPr>
      <w:r>
        <w:rPr>
          <w:rFonts w:hint="eastAsia"/>
          <w:color w:val="000000"/>
          <w:szCs w:val="21"/>
        </w:rPr>
        <w:br w:type="page"/>
      </w:r>
    </w:p>
    <w:p>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行政单位通用办公家具配置标准表</w:t>
      </w:r>
    </w:p>
    <w:tbl>
      <w:tblPr>
        <w:tblStyle w:val="5"/>
        <w:tblW w:w="8659" w:type="dxa"/>
        <w:tblInd w:w="96" w:type="dxa"/>
        <w:tblLayout w:type="fixed"/>
        <w:tblCellMar>
          <w:top w:w="0" w:type="dxa"/>
          <w:left w:w="108" w:type="dxa"/>
          <w:bottom w:w="0" w:type="dxa"/>
          <w:right w:w="108" w:type="dxa"/>
        </w:tblCellMar>
      </w:tblPr>
      <w:tblGrid>
        <w:gridCol w:w="720"/>
        <w:gridCol w:w="1100"/>
        <w:gridCol w:w="3012"/>
        <w:gridCol w:w="1843"/>
        <w:gridCol w:w="1134"/>
        <w:gridCol w:w="850"/>
      </w:tblGrid>
      <w:tr>
        <w:tblPrEx>
          <w:tblLayout w:type="fixed"/>
          <w:tblCellMar>
            <w:top w:w="0" w:type="dxa"/>
            <w:left w:w="108" w:type="dxa"/>
            <w:bottom w:w="0" w:type="dxa"/>
            <w:right w:w="108" w:type="dxa"/>
          </w:tblCellMar>
        </w:tblPrEx>
        <w:trPr>
          <w:trHeight w:val="465"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资产品目</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数量上限（套、件、组）</w:t>
            </w:r>
          </w:p>
        </w:tc>
        <w:tc>
          <w:tcPr>
            <w:tcW w:w="1843"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价格上限（元）</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最低使用年限（年）</w:t>
            </w:r>
          </w:p>
        </w:tc>
        <w:tc>
          <w:tcPr>
            <w:tcW w:w="85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20"/>
                <w:szCs w:val="20"/>
              </w:rPr>
            </w:pPr>
            <w:r>
              <w:rPr>
                <w:rFonts w:hint="eastAsia" w:ascii="宋体" w:hAnsi="宋体" w:cs="宋体"/>
                <w:kern w:val="0"/>
                <w:sz w:val="20"/>
                <w:szCs w:val="20"/>
              </w:rPr>
              <w:t>性能</w:t>
            </w:r>
          </w:p>
          <w:p>
            <w:pPr>
              <w:widowControl/>
              <w:spacing w:line="280" w:lineRule="exact"/>
              <w:jc w:val="center"/>
              <w:rPr>
                <w:rFonts w:ascii="宋体" w:hAnsi="宋体" w:cs="宋体"/>
                <w:kern w:val="0"/>
                <w:sz w:val="20"/>
                <w:szCs w:val="20"/>
              </w:rPr>
            </w:pPr>
            <w:r>
              <w:rPr>
                <w:rFonts w:hint="eastAsia" w:ascii="宋体" w:hAnsi="宋体" w:cs="宋体"/>
                <w:kern w:val="0"/>
                <w:sz w:val="20"/>
                <w:szCs w:val="20"/>
              </w:rPr>
              <w:t>要求</w:t>
            </w:r>
          </w:p>
        </w:tc>
      </w:tr>
      <w:tr>
        <w:tblPrEx>
          <w:tblLayout w:type="fixed"/>
          <w:tblCellMar>
            <w:top w:w="0" w:type="dxa"/>
            <w:left w:w="108" w:type="dxa"/>
            <w:bottom w:w="0" w:type="dxa"/>
            <w:right w:w="108" w:type="dxa"/>
          </w:tblCellMar>
        </w:tblPrEx>
        <w:trPr>
          <w:trHeight w:val="1132"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办公桌</w:t>
            </w:r>
          </w:p>
        </w:tc>
        <w:tc>
          <w:tcPr>
            <w:tcW w:w="30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1套/人</w:t>
            </w:r>
          </w:p>
        </w:tc>
        <w:tc>
          <w:tcPr>
            <w:tcW w:w="184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厅级：4,500</w:t>
            </w:r>
            <w:r>
              <w:rPr>
                <w:rFonts w:hint="eastAsia" w:ascii="宋体" w:hAnsi="宋体" w:cs="宋体"/>
                <w:kern w:val="0"/>
                <w:sz w:val="18"/>
                <w:szCs w:val="18"/>
              </w:rPr>
              <w:br w:type="textWrapping"/>
            </w:r>
            <w:r>
              <w:rPr>
                <w:rFonts w:hint="eastAsia" w:ascii="宋体" w:hAnsi="宋体" w:cs="宋体"/>
                <w:kern w:val="0"/>
                <w:sz w:val="18"/>
                <w:szCs w:val="18"/>
              </w:rPr>
              <w:t>处级：3,000</w:t>
            </w:r>
          </w:p>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处以下：2,500</w:t>
            </w:r>
          </w:p>
        </w:tc>
        <w:tc>
          <w:tcPr>
            <w:tcW w:w="113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w:t>
            </w:r>
          </w:p>
        </w:tc>
        <w:tc>
          <w:tcPr>
            <w:tcW w:w="85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充分考虑办公布局，符合简朴实用、经典耐用要求，不得配置豪华家具，不得使用名贵木材</w:t>
            </w:r>
          </w:p>
        </w:tc>
      </w:tr>
      <w:tr>
        <w:tblPrEx>
          <w:tblLayout w:type="fixed"/>
          <w:tblCellMar>
            <w:top w:w="0" w:type="dxa"/>
            <w:left w:w="108" w:type="dxa"/>
            <w:bottom w:w="0" w:type="dxa"/>
            <w:right w:w="108" w:type="dxa"/>
          </w:tblCellMar>
        </w:tblPrEx>
        <w:trPr>
          <w:trHeight w:val="1074"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办公椅</w:t>
            </w:r>
          </w:p>
        </w:tc>
        <w:tc>
          <w:tcPr>
            <w:tcW w:w="30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1843"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厅级：1,500</w:t>
            </w:r>
            <w:r>
              <w:rPr>
                <w:rFonts w:hint="eastAsia" w:ascii="宋体" w:hAnsi="宋体" w:cs="宋体"/>
                <w:kern w:val="0"/>
                <w:sz w:val="18"/>
                <w:szCs w:val="18"/>
              </w:rPr>
              <w:br w:type="textWrapping"/>
            </w:r>
            <w:r>
              <w:rPr>
                <w:rFonts w:hint="eastAsia" w:ascii="宋体" w:hAnsi="宋体" w:cs="宋体"/>
                <w:kern w:val="0"/>
                <w:sz w:val="18"/>
                <w:szCs w:val="18"/>
              </w:rPr>
              <w:t>处级：800</w:t>
            </w:r>
          </w:p>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处以下：600</w:t>
            </w:r>
          </w:p>
        </w:tc>
        <w:tc>
          <w:tcPr>
            <w:tcW w:w="113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859" w:hRule="atLeast"/>
        </w:trPr>
        <w:tc>
          <w:tcPr>
            <w:tcW w:w="7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沙发</w:t>
            </w:r>
          </w:p>
        </w:tc>
        <w:tc>
          <w:tcPr>
            <w:tcW w:w="1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三人沙发</w:t>
            </w:r>
          </w:p>
        </w:tc>
        <w:tc>
          <w:tcPr>
            <w:tcW w:w="30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视办公室使用面积，每个处级办公室可以配置1个三人沙发或2个单人沙发，厅级办公室可以配置1个三人沙发和2个单人沙发</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3,000</w:t>
            </w:r>
          </w:p>
        </w:tc>
        <w:tc>
          <w:tcPr>
            <w:tcW w:w="113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736"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1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单人沙发</w:t>
            </w:r>
          </w:p>
        </w:tc>
        <w:tc>
          <w:tcPr>
            <w:tcW w:w="3012" w:type="dxa"/>
            <w:vMerge w:val="continue"/>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1,500</w:t>
            </w:r>
          </w:p>
        </w:tc>
        <w:tc>
          <w:tcPr>
            <w:tcW w:w="113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528" w:hRule="atLeast"/>
        </w:trPr>
        <w:tc>
          <w:tcPr>
            <w:tcW w:w="7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茶几</w:t>
            </w:r>
          </w:p>
        </w:tc>
        <w:tc>
          <w:tcPr>
            <w:tcW w:w="1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大茶几</w:t>
            </w:r>
          </w:p>
        </w:tc>
        <w:tc>
          <w:tcPr>
            <w:tcW w:w="30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视办公室使用面积，每个办公室可以选择配置1个大茶几或者1个小茶几</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w:t>
            </w:r>
          </w:p>
        </w:tc>
        <w:tc>
          <w:tcPr>
            <w:tcW w:w="113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485"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1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小茶几</w:t>
            </w:r>
          </w:p>
        </w:tc>
        <w:tc>
          <w:tcPr>
            <w:tcW w:w="3012" w:type="dxa"/>
            <w:vMerge w:val="continue"/>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800</w:t>
            </w:r>
          </w:p>
        </w:tc>
        <w:tc>
          <w:tcPr>
            <w:tcW w:w="113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431" w:hRule="atLeast"/>
        </w:trPr>
        <w:tc>
          <w:tcPr>
            <w:tcW w:w="1820" w:type="dxa"/>
            <w:gridSpan w:val="2"/>
            <w:tcBorders>
              <w:top w:val="single" w:color="auto" w:sz="4" w:space="0"/>
              <w:left w:val="single" w:color="auto" w:sz="4" w:space="0"/>
              <w:bottom w:val="nil"/>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桌前椅</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1个/办公室</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66" w:hRule="atLeast"/>
        </w:trPr>
        <w:tc>
          <w:tcPr>
            <w:tcW w:w="18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书柜</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厅级：2组/人</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70" w:hRule="atLeast"/>
        </w:trPr>
        <w:tc>
          <w:tcPr>
            <w:tcW w:w="18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处级及以下：1组/人</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1,200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540" w:hRule="atLeast"/>
        </w:trPr>
        <w:tc>
          <w:tcPr>
            <w:tcW w:w="1820"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文件柜</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1组/人</w:t>
            </w:r>
          </w:p>
        </w:tc>
        <w:tc>
          <w:tcPr>
            <w:tcW w:w="1843"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厅级：2,000</w:t>
            </w:r>
            <w:r>
              <w:rPr>
                <w:rFonts w:hint="eastAsia" w:ascii="宋体" w:hAnsi="宋体" w:cs="宋体"/>
                <w:kern w:val="0"/>
                <w:sz w:val="18"/>
                <w:szCs w:val="18"/>
              </w:rPr>
              <w:br w:type="textWrapping"/>
            </w:r>
            <w:r>
              <w:rPr>
                <w:rFonts w:hint="eastAsia" w:ascii="宋体" w:hAnsi="宋体" w:cs="宋体"/>
                <w:kern w:val="0"/>
                <w:sz w:val="18"/>
                <w:szCs w:val="18"/>
              </w:rPr>
              <w:t>处级及以下：1,000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555"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更衣柜</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根据需要合理配置</w:t>
            </w:r>
          </w:p>
        </w:tc>
        <w:tc>
          <w:tcPr>
            <w:tcW w:w="1843"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厅级：2,000</w:t>
            </w:r>
            <w:r>
              <w:rPr>
                <w:rFonts w:hint="eastAsia" w:ascii="宋体" w:hAnsi="宋体" w:cs="宋体"/>
                <w:kern w:val="0"/>
                <w:sz w:val="18"/>
                <w:szCs w:val="18"/>
              </w:rPr>
              <w:br w:type="textWrapping"/>
            </w:r>
            <w:r>
              <w:rPr>
                <w:rFonts w:hint="eastAsia" w:ascii="宋体" w:hAnsi="宋体" w:cs="宋体"/>
                <w:kern w:val="0"/>
                <w:sz w:val="18"/>
                <w:szCs w:val="18"/>
              </w:rPr>
              <w:t>处级及以下：1,000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501"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保密柜</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根据保密规定和工作需要合理配置</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417"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茶水柜</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1组/办公室</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507"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会议桌</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按容纳人数配置（每人）</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800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558"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会议椅</w:t>
            </w:r>
          </w:p>
        </w:tc>
        <w:tc>
          <w:tcPr>
            <w:tcW w:w="301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按会议人数配置（每人）</w:t>
            </w:r>
          </w:p>
        </w:tc>
        <w:tc>
          <w:tcPr>
            <w:tcW w:w="184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w:t>
            </w:r>
          </w:p>
        </w:tc>
        <w:tc>
          <w:tcPr>
            <w:tcW w:w="113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 xml:space="preserve"> </w:t>
            </w:r>
          </w:p>
        </w:tc>
        <w:tc>
          <w:tcPr>
            <w:tcW w:w="85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780" w:hRule="atLeast"/>
        </w:trPr>
        <w:tc>
          <w:tcPr>
            <w:tcW w:w="8659" w:type="dxa"/>
            <w:gridSpan w:val="6"/>
            <w:tcBorders>
              <w:top w:val="nil"/>
              <w:left w:val="nil"/>
              <w:bottom w:val="nil"/>
              <w:right w:val="nil"/>
            </w:tcBorders>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备注  1.配置具有组合功能的办公家具，价格不得高于各单项资产的价格之和。</w:t>
            </w:r>
          </w:p>
          <w:p>
            <w:pPr>
              <w:widowControl/>
              <w:spacing w:line="280" w:lineRule="exact"/>
              <w:ind w:firstLine="540" w:firstLineChars="300"/>
              <w:jc w:val="left"/>
              <w:rPr>
                <w:rFonts w:ascii="宋体" w:hAnsi="宋体" w:cs="宋体"/>
                <w:kern w:val="0"/>
                <w:sz w:val="18"/>
                <w:szCs w:val="18"/>
              </w:rPr>
            </w:pPr>
            <w:r>
              <w:rPr>
                <w:rFonts w:hint="eastAsia" w:ascii="宋体" w:hAnsi="宋体" w:cs="宋体"/>
                <w:kern w:val="0"/>
                <w:sz w:val="18"/>
                <w:szCs w:val="18"/>
              </w:rPr>
              <w:t>2.价格上限中的价格指单件家具的价格。</w:t>
            </w:r>
          </w:p>
        </w:tc>
      </w:tr>
    </w:tbl>
    <w:p>
      <w:pPr>
        <w:pStyle w:val="2"/>
        <w:spacing w:before="0" w:beforeAutospacing="0" w:after="0" w:afterAutospacing="0" w:line="600" w:lineRule="atLeast"/>
        <w:ind w:firstLine="480"/>
        <w:rPr>
          <w:rFonts w:hint="eastAsia"/>
          <w:color w:val="000000"/>
          <w:szCs w:val="21"/>
        </w:rPr>
      </w:pPr>
      <w:bookmarkStart w:id="0" w:name="_GoBack"/>
      <w:bookmarkEnd w:id="0"/>
    </w:p>
    <w:p>
      <w:pPr>
        <w:rPr>
          <w:sz w:val="24"/>
        </w:rPr>
      </w:pP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3F"/>
    <w:rsid w:val="000B69DA"/>
    <w:rsid w:val="001C41E1"/>
    <w:rsid w:val="0034173F"/>
    <w:rsid w:val="004338D0"/>
    <w:rsid w:val="00924D16"/>
    <w:rsid w:val="009E2D23"/>
    <w:rsid w:val="00A42FEA"/>
    <w:rsid w:val="00AD1979"/>
    <w:rsid w:val="16095FD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customStyle="1" w:styleId="6">
    <w:name w:val="apple-converted-space"/>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169</Words>
  <Characters>968</Characters>
  <Lines>8</Lines>
  <Paragraphs>2</Paragraphs>
  <TotalTime>0</TotalTime>
  <ScaleCrop>false</ScaleCrop>
  <LinksUpToDate>false</LinksUpToDate>
  <CharactersWithSpaces>1135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2016-11-04T05:23:00Z</dcterms:created>
  <dc:creator>ZLB</dc:creator>
  <cp:lastModifiedBy>Administrator</cp:lastModifiedBy>
  <dcterms:modified xsi:type="dcterms:W3CDTF">2017-03-10T05:31:43Z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